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20"/>
          <w:tab w:val="left" w:pos="0" w:leader="none"/>
        </w:tabs>
        <w:spacing w:before="240" w:after="120"/>
        <w:ind w:left="0" w:hanging="0"/>
        <w:rPr>
          <w:lang w:val="cs-CZ"/>
        </w:rPr>
      </w:pPr>
      <w:r>
        <w:rPr>
          <w:lang w:val="cs-CZ"/>
        </w:rPr>
        <w:t>Souhrn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Ú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pravy prohlídek v souvislosti s novelou vyhlášky 79/2013 Sb.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Úpravy v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 tiskopis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ech stvrzenek a předpisů k úhradě ke cash účtům.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Vzory žádanek – 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změněn způsob výběru.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Prohlídky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Pojem</w:t>
      </w:r>
      <w:r>
        <w:rPr>
          <w:rFonts w:ascii="Liberation Serif" w:hAnsi="Liberation Serif"/>
          <w:lang w:val="cs-CZ"/>
        </w:rPr>
        <w:t xml:space="preserve"> „rizika ohrožení zdraví“ byl přejmenován na „profesní rizika“. </w:t>
      </w:r>
      <w:r>
        <w:rPr>
          <w:rFonts w:ascii="Liberation Serif" w:hAnsi="Liberation Serif"/>
          <w:lang w:val="cs-CZ"/>
        </w:rPr>
        <w:t>Položky s kódy O01 až O14 byly označeny za zrušené, místo nich jsou nově vytvořené položky s kódy P01 až P11.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Pojem „</w:t>
      </w:r>
      <w:r>
        <w:rPr>
          <w:rFonts w:ascii="Liberation Serif" w:hAnsi="Liberation Serif"/>
          <w:lang w:val="cs-CZ"/>
        </w:rPr>
        <w:t>Režim práce“ byl přejmenován na „Režim pracovní doby“.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 xml:space="preserve">Byly upraveny </w:t>
      </w:r>
      <w:r>
        <w:rPr>
          <w:rFonts w:ascii="Liberation Serif" w:hAnsi="Liberation Serif"/>
          <w:lang w:val="cs-CZ"/>
        </w:rPr>
        <w:t xml:space="preserve">některé </w:t>
      </w:r>
      <w:r>
        <w:rPr>
          <w:rFonts w:ascii="Liberation Serif" w:hAnsi="Liberation Serif"/>
          <w:lang w:val="cs-CZ"/>
        </w:rPr>
        <w:t>šablony posudku o zdravotní způsobilosti k práci.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[AR] Záznam návštěv na RHB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 xml:space="preserve">Při práci s číselníkem procedur lze uživatelsky nastavit, jestli při výběru procedury použít výběr pomocí skupin. Nastaví se </w:t>
      </w:r>
      <w:r>
        <w:rPr>
          <w:rFonts w:ascii="Liberation Serif" w:hAnsi="Liberation Serif"/>
          <w:lang w:val="cs-CZ"/>
        </w:rPr>
        <w:t xml:space="preserve">při výběru procedury </w:t>
      </w:r>
      <w:r>
        <w:rPr>
          <w:rFonts w:ascii="Liberation Serif" w:hAnsi="Liberation Serif"/>
          <w:lang w:val="cs-CZ"/>
        </w:rPr>
        <w:t>v číselníku procedur pomocí &lt;P&gt;-procházení.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 xml:space="preserve">V novém rozhraní AR lze při zápisu první procedury v Žádance použít multivýběr. </w:t>
      </w:r>
      <w:r>
        <w:rPr>
          <w:rFonts w:ascii="Liberation Serif" w:hAnsi="Liberation Serif"/>
          <w:lang w:val="cs-CZ"/>
        </w:rPr>
        <w:t>T</w:t>
      </w:r>
      <w:r>
        <w:rPr>
          <w:rFonts w:ascii="Liberation Serif" w:hAnsi="Liberation Serif"/>
          <w:lang w:val="cs-CZ"/>
        </w:rPr>
        <w:t xml:space="preserve">ím se jednorázově naplní všechny procedury žádanky, na dalších procedurách je funkční jen výběr jedné procedury. Není tak potřeba při manuálním zápisu Žádanky volat </w:t>
      </w:r>
      <w:r>
        <w:rPr>
          <w:rFonts w:ascii="Liberation Serif" w:hAnsi="Liberation Serif"/>
          <w:lang w:val="cs-CZ"/>
        </w:rPr>
        <w:t>opakovaně</w:t>
      </w:r>
      <w:r>
        <w:rPr>
          <w:rFonts w:ascii="Liberation Serif" w:hAnsi="Liberation Serif"/>
          <w:lang w:val="cs-CZ"/>
        </w:rPr>
        <w:t xml:space="preserve"> výběr z číselníku procedur.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V novém rozhraní AR se v Žádance nabízí z případné elektronické FT žádanky i texty zadané lékařem (upravené názvy procedur). Texty lze dále modifikovat. Při samotném zápise provedení procedury se pak při výběru procedur zobrazují k procedurám ne jejich názvy z číselníku, ale právě tyto texty.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[ASSZ] Pacienti se zdravotním záznamem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b w:val="false"/>
          <w:bCs w:val="false"/>
          <w:sz w:val="22"/>
          <w:lang w:val="cs-CZ"/>
        </w:rPr>
        <w:t>Vstupní filtr pro přehled pacientů se zdravotním záznamem rozšířen o možnost zadat datum „do“.</w:t>
      </w:r>
      <w:r>
        <w:rPr>
          <w:rFonts w:ascii="Liberation Serif" w:hAnsi="Liberation Serif"/>
          <w:lang w:val="cs-CZ"/>
        </w:rPr>
        <w:t xml:space="preserve"> Takový seznam pak může sloužit např. jako pomůcka pro </w:t>
      </w:r>
      <w:r>
        <w:rPr>
          <w:rFonts w:ascii="Liberation Serif" w:hAnsi="Liberation Serif"/>
          <w:lang w:val="cs-CZ"/>
        </w:rPr>
        <w:t xml:space="preserve">výběr </w:t>
      </w:r>
      <w:r>
        <w:rPr>
          <w:rFonts w:ascii="Liberation Serif" w:hAnsi="Liberation Serif"/>
          <w:lang w:val="cs-CZ"/>
        </w:rPr>
        <w:t xml:space="preserve">starých záznamů </w:t>
      </w:r>
      <w:r>
        <w:rPr>
          <w:rFonts w:ascii="Liberation Serif" w:hAnsi="Liberation Serif"/>
          <w:lang w:val="cs-CZ"/>
        </w:rPr>
        <w:t>k archivaci.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ADVZ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Nastavení vzorů žádanek</w:t>
      </w:r>
    </w:p>
    <w:p>
      <w:pPr>
        <w:pStyle w:val="Tlotextu"/>
        <w:numPr>
          <w:ilvl w:val="0"/>
          <w:numId w:val="3"/>
        </w:numPr>
        <w:rPr>
          <w:rFonts w:ascii="Liberation Serif" w:hAnsi="Liberation Serif" w:eastAsia="Lucida Sans Unicode" w:cs="Tahoma"/>
          <w:b w:val="false"/>
          <w:b w:val="false"/>
          <w:bCs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 xml:space="preserve">U většiny žádanek došlo ke změně logiky výběru ze vzorů. Vzory se nově nenabízí před vstupem do formuláře žádanky, ale jsou dostupné přes tlačítko </w:t>
      </w:r>
      <w:r>
        <w:rPr>
          <w:rFonts w:eastAsia="Lucida Sans Unicode" w:cs="Tahoma" w:ascii="Liberation Serif" w:hAnsi="Liberation Serif"/>
          <w:b/>
          <w:bCs/>
          <w:i w:val="false"/>
          <w:sz w:val="22"/>
          <w:szCs w:val="28"/>
          <w:u w:val="none"/>
          <w:lang w:val="cs-CZ"/>
        </w:rPr>
        <w:t>Vzory</w:t>
      </w: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>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 w:eastAsia="Lucida Sans Unicode" w:cs="Tahoma"/>
          <w:b w:val="false"/>
          <w:b w:val="false"/>
          <w:bCs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>V tabulce s výběrem vzoru lze nově také vzory vytvářet, upravovat a mazat.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APR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Recepty a pomůcky</w:t>
      </w:r>
    </w:p>
    <w:p>
      <w:pPr>
        <w:pStyle w:val="Tlotextu"/>
        <w:numPr>
          <w:ilvl w:val="0"/>
          <w:numId w:val="3"/>
        </w:numPr>
        <w:rPr>
          <w:rFonts w:ascii="Liberation Serif" w:hAnsi="Liberation Serif" w:eastAsia="Lucida Sans Unicode" w:cs="Tahoma"/>
          <w:b w:val="false"/>
          <w:b w:val="false"/>
          <w:bCs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 xml:space="preserve">Při vystavení eReceptu a ePoukazu se předvyplní poslední volba zasílání průvodky, která byla použita u daného pacienta. </w:t>
      </w: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>Pamatování poslední volby</w:t>
      </w: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 xml:space="preserve"> je </w:t>
      </w: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 xml:space="preserve">společné </w:t>
      </w:r>
      <w:r>
        <w:rPr>
          <w:rFonts w:eastAsia="Lucida Sans Unicode" w:cs="Tahoma" w:ascii="Liberation Serif" w:hAnsi="Liberation Serif"/>
          <w:b w:val="false"/>
          <w:bCs w:val="false"/>
          <w:i w:val="false"/>
          <w:sz w:val="22"/>
          <w:szCs w:val="28"/>
          <w:u w:val="none"/>
          <w:lang w:val="cs-CZ"/>
        </w:rPr>
        <w:t>pro eRecept a ePoukaz.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ASPN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Agenda PN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Výpis aktuálního stavu osob v PN – v tabulce byl sloupec „14“ nahrazen sloupcem „Od potvrzení“. Zobrazuje počet dnů od posledního Potvrzení o trvání DPN, případně od začátku PN. Bývalý vykřičník upozorňující na nevystavení potvrzení ke 14. dni je nahrazen barevným zvýrazněním počtu dnů. Dále byl přidán sloupec „Délka“.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ASP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Prohlídky - přehledy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 xml:space="preserve">Přehled nedokončených základní prohlídek – ve vstupním filtru bylo změněno </w:t>
      </w:r>
      <w:r>
        <w:rPr>
          <w:rFonts w:ascii="Liberation Serif" w:hAnsi="Liberation Serif"/>
          <w:lang w:val="cs-CZ"/>
        </w:rPr>
        <w:t>o</w:t>
      </w:r>
      <w:r>
        <w:rPr>
          <w:rFonts w:ascii="Liberation Serif" w:hAnsi="Liberation Serif"/>
          <w:lang w:val="cs-CZ"/>
        </w:rPr>
        <w:t>bdobí zahájení za období uzavření.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UCV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Vyúčtování cash účtu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sz w:val="22"/>
          <w:lang w:val="cs-CZ"/>
        </w:rPr>
        <w:t>V</w:t>
      </w:r>
      <w:r>
        <w:rPr>
          <w:rFonts w:ascii="Liberation Serif" w:hAnsi="Liberation Serif"/>
          <w:lang w:val="cs-CZ"/>
        </w:rPr>
        <w:t xml:space="preserve"> cash účtech </w:t>
      </w:r>
      <w:r>
        <w:rPr>
          <w:rFonts w:ascii="Liberation Serif" w:hAnsi="Liberation Serif"/>
          <w:lang w:val="cs-CZ"/>
        </w:rPr>
        <w:t xml:space="preserve">byly </w:t>
      </w:r>
      <w:r>
        <w:rPr>
          <w:rFonts w:ascii="Liberation Serif" w:hAnsi="Liberation Serif"/>
          <w:lang w:val="cs-CZ"/>
        </w:rPr>
        <w:t xml:space="preserve">sjednoceny pojmy stvrzenka </w:t>
      </w:r>
      <w:r>
        <w:rPr>
          <w:rFonts w:ascii="Liberation Serif" w:hAnsi="Liberation Serif"/>
          <w:lang w:val="cs-CZ"/>
        </w:rPr>
        <w:t>(dříve doklad, pokladní doklad, …) a</w:t>
      </w:r>
      <w:r>
        <w:rPr>
          <w:rFonts w:ascii="Liberation Serif" w:hAnsi="Liberation Serif"/>
          <w:lang w:val="cs-CZ"/>
        </w:rPr>
        <w:t xml:space="preserve"> cena </w:t>
      </w:r>
      <w:r>
        <w:rPr>
          <w:rFonts w:ascii="Liberation Serif" w:hAnsi="Liberation Serif"/>
          <w:lang w:val="cs-CZ"/>
        </w:rPr>
        <w:t>(dříve cena, platba, Kč, ...)</w:t>
      </w:r>
      <w:r>
        <w:rPr>
          <w:rFonts w:ascii="Liberation Serif" w:hAnsi="Liberation Serif"/>
          <w:lang w:val="cs-CZ"/>
        </w:rPr>
        <w:t>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Z tiskopisů</w:t>
      </w:r>
      <w:r>
        <w:rPr>
          <w:rFonts w:ascii="Liberation Serif" w:hAnsi="Liberation Serif"/>
          <w:lang w:val="cs-CZ"/>
        </w:rPr>
        <w:t xml:space="preserve"> stvrzenek a předpisů k úhradě ke cash účtům </w:t>
      </w:r>
      <w:r>
        <w:rPr>
          <w:rFonts w:ascii="Liberation Serif" w:hAnsi="Liberation Serif"/>
          <w:lang w:val="cs-CZ"/>
        </w:rPr>
        <w:t xml:space="preserve">byly </w:t>
      </w:r>
      <w:r>
        <w:rPr>
          <w:rFonts w:ascii="Liberation Serif" w:hAnsi="Liberation Serif"/>
          <w:lang w:val="cs-CZ"/>
        </w:rPr>
        <w:t xml:space="preserve">zrušeny údaje razítko a podpis. </w:t>
      </w:r>
      <w:r>
        <w:rPr>
          <w:rFonts w:ascii="Liberation Serif" w:hAnsi="Liberation Serif"/>
          <w:sz w:val="22"/>
          <w:lang w:val="cs-CZ"/>
        </w:rPr>
        <w:t>Ú</w:t>
      </w:r>
      <w:r>
        <w:rPr>
          <w:rFonts w:ascii="Liberation Serif" w:hAnsi="Liberation Serif"/>
          <w:lang w:val="cs-CZ"/>
        </w:rPr>
        <w:t xml:space="preserve">daj vystavil </w:t>
      </w:r>
      <w:r>
        <w:rPr>
          <w:rFonts w:ascii="Liberation Serif" w:hAnsi="Liberation Serif"/>
          <w:lang w:val="cs-CZ"/>
        </w:rPr>
        <w:t xml:space="preserve">nyní </w:t>
      </w:r>
      <w:r>
        <w:rPr>
          <w:rFonts w:ascii="Liberation Serif" w:hAnsi="Liberation Serif"/>
          <w:lang w:val="cs-CZ"/>
        </w:rPr>
        <w:t>obsahuje jméno vystavujícího (dříve název koše).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UCIS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Číselníky pro účtování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 xml:space="preserve">Zapracován číselník Hromadně vyráběné léčivé přípravky – </w:t>
      </w:r>
      <w:r>
        <w:rPr>
          <w:rFonts w:ascii="Liberation Serif" w:hAnsi="Liberation Serif"/>
          <w:lang w:val="cs-CZ"/>
        </w:rPr>
        <w:t xml:space="preserve">další </w:t>
      </w:r>
      <w:r>
        <w:rPr>
          <w:rFonts w:ascii="Liberation Serif" w:hAnsi="Liberation Serif"/>
          <w:lang w:val="cs-CZ"/>
        </w:rPr>
        <w:t>úhrady.</w:t>
      </w:r>
    </w:p>
    <w:p>
      <w:pPr>
        <w:pStyle w:val="Mnkd"/>
        <w:shd w:fill="CCCCCC" w:val="clear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MU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Manažerské přehledy - účtování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V MU(14-8) přidána volba „Zpracovat prohlídky“ (dokončené/nedokončené).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 xml:space="preserve">Nová tabulka </w:t>
      </w:r>
      <w:r>
        <w:rPr>
          <w:rFonts w:ascii="Liberation Serif" w:hAnsi="Liberation Serif"/>
          <w:lang w:val="cs-CZ"/>
        </w:rPr>
        <w:t>MU(3-23) Úhrada za ambulantní odbornost a RHB v roce 2023.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Zrušeny sestavy: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MU(3-1) Přehled přechodů ambulantních pacientů mezi ZP,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MU(3-3) Ambulantní průměry pro ZP,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MU(5-1) Přehled vybraných výkonů dle účt. košů,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MU(5-2) Přehled provedených výkonů,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MU(5-3) Přehled vybraných výkonů dle ZP,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MU(5-4) Přehled počtu vybraných výkonů dle účt. košů.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shd w:fill="CCCCCC" w:val="clear"/>
        <w:rPr>
          <w:lang w:val="cs-CZ"/>
        </w:rPr>
      </w:pPr>
      <w:r>
        <w:rPr>
          <w:lang w:val="cs-CZ"/>
        </w:rPr>
        <w:t>[SC] Číselníky systému</w:t>
      </w:r>
    </w:p>
    <w:p>
      <w:pPr>
        <w:pStyle w:val="Tlotextu"/>
        <w:numPr>
          <w:ilvl w:val="0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Prohlídky – plátci: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U nezrušených plátců se v položce „Jen profesní rizika“ automaticky převedly původní kódy rizik ohrožení zdraví na nové kódy profesních rizik.</w:t>
      </w:r>
    </w:p>
    <w:p>
      <w:pPr>
        <w:pStyle w:val="Tlotextu"/>
        <w:numPr>
          <w:ilvl w:val="1"/>
          <w:numId w:val="3"/>
        </w:numPr>
        <w:rPr>
          <w:rFonts w:ascii="Liberation Serif" w:hAnsi="Liberation Serif"/>
          <w:lang w:val="cs-CZ"/>
        </w:rPr>
      </w:pPr>
      <w:r>
        <w:rPr>
          <w:rFonts w:ascii="Liberation Serif" w:hAnsi="Liberation Serif"/>
          <w:lang w:val="cs-CZ"/>
        </w:rPr>
        <w:t>Zaveden nový parametr „Číslo objednávky“.</w:t>
      </w:r>
    </w:p>
    <w:p>
      <w:pPr>
        <w:pStyle w:val="Tlotextu"/>
        <w:numPr>
          <w:ilvl w:val="1"/>
          <w:numId w:val="3"/>
        </w:numPr>
        <w:spacing w:before="0" w:after="85"/>
        <w:rPr>
          <w:lang w:val="cs-CZ"/>
        </w:rPr>
      </w:pPr>
      <w:r>
        <w:rPr>
          <w:lang w:val="cs-CZ"/>
        </w:rPr>
        <w:t>Zjednodušen parametr hlavičky prohlídky „Příplatek za profesní riziko bez DPH“.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84" w:footer="567" w:bottom="11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ee"/>
    <w:family w:val="roman"/>
    <w:pitch w:val="default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DejaVu Sans">
    <w:charset w:val="ee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bidi w:val="0"/>
      <w:spacing w:before="57" w:after="0"/>
      <w:jc w:val="lef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  <w:r>
      <w:rPr>
        <w:lang w:val="cs-CZ"/>
      </w:rPr>
      <w:tab/>
    </w:r>
    <w:r>
      <w:rPr>
        <w:lang w:val="cs-CZ"/>
      </w:rPr>
      <w:t>6</w:t>
    </w:r>
    <w:r>
      <w:rPr>
        <w:lang w:val="cs-CZ"/>
      </w:rPr>
      <w:t xml:space="preserve">. </w:t>
    </w:r>
    <w:r>
      <w:rPr>
        <w:lang w:val="cs-CZ"/>
      </w:rPr>
      <w:t>1</w:t>
    </w:r>
    <w:r>
      <w:rPr>
        <w:lang w:val="cs-CZ"/>
      </w:rPr>
      <w:t>. 20</w:t>
    </w:r>
    <w:r>
      <w:rPr>
        <w:lang w:val="cs-CZ"/>
      </w:rPr>
      <w:t>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1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22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1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22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DejaVu Sans" w:hAnsi="DejaVu Sans" w:cs="DejaVu Sans" w:hint="default"/>
        <w:sz w:val="18"/>
        <w:szCs w:val="18"/>
        <w:rFonts w:cs="StarSymbol"/>
      </w:rPr>
    </w:lvl>
    <w:lvl w:ilvl="2">
      <w:start w:val="1"/>
      <w:numFmt w:val="bullet"/>
      <w:lvlText w:val="∘"/>
      <w:lvlJc w:val="left"/>
      <w:pPr>
        <w:tabs>
          <w:tab w:val="num" w:pos="1440"/>
        </w:tabs>
        <w:ind w:left="1440" w:hanging="360"/>
      </w:pPr>
      <w:rPr>
        <w:rFonts w:ascii="DejaVu Sans" w:hAnsi="DejaVu Sans" w:cs="DejaVu Sans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Star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Internetovodkaz">
    <w:name w:val="Internetový odkaz"/>
    <w:rPr>
      <w:color w:val="000080"/>
      <w:u w:val="single"/>
    </w:rPr>
  </w:style>
  <w:style w:type="character" w:styleId="Navtveninternetovodkaz">
    <w:name w:val="Navštívený internetový odkaz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ilnzdraznn">
    <w:name w:val="Silné zdůraznění"/>
    <w:qFormat/>
    <w:rPr>
      <w:b/>
      <w:bCs/>
    </w:rPr>
  </w:style>
  <w:style w:type="character" w:styleId="UPGMzapracovat">
    <w:name w:val="UPGM - zapracovat"/>
    <w:qFormat/>
    <w:rPr>
      <w:b/>
      <w:color w:val="FF0000"/>
    </w:rPr>
  </w:style>
  <w:style w:type="character" w:styleId="UPGM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zapracovno">
    <w:name w:val="UPGM - zapracováno"/>
    <w:qFormat/>
    <w:rPr>
      <w:color w:val="009900"/>
    </w:rPr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Tlotextu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Zatekseznamu1">
    <w:name w:val="Začátek seznamu 1"/>
    <w:basedOn w:val="Seznam"/>
    <w:qFormat/>
    <w:pPr>
      <w:spacing w:before="240" w:after="120"/>
      <w:ind w:left="360" w:right="0" w:hanging="360"/>
    </w:pPr>
    <w:rPr/>
  </w:style>
  <w:style w:type="paragraph" w:styleId="Seznam1">
    <w:name w:val="List 2"/>
    <w:basedOn w:val="Seznam"/>
    <w:pPr>
      <w:spacing w:before="0" w:after="120"/>
      <w:ind w:left="36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Popisek"/>
    <w:qFormat/>
    <w:pPr/>
    <w:rPr/>
  </w:style>
  <w:style w:type="paragraph" w:styleId="Obsahrmce">
    <w:name w:val="Obsah rámce"/>
    <w:basedOn w:val="Tlotextu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left="567" w:right="0" w:hanging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left"/>
    </w:pPr>
    <w:rPr/>
  </w:style>
  <w:style w:type="paragraph" w:styleId="Odsazenprvnhodku">
    <w:name w:val="Odsazení prvního ?ádku"/>
    <w:basedOn w:val="Normal"/>
    <w:qFormat/>
    <w:pPr>
      <w:spacing w:before="0" w:after="0"/>
      <w:ind w:left="0" w:right="0" w:firstLine="34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left="113" w:right="113" w:hanging="0"/>
      <w:jc w:val="center"/>
    </w:pPr>
    <w:rPr/>
  </w:style>
  <w:style w:type="paragraph" w:styleId="Nadpis11">
    <w:name w:val="Nadpis1"/>
    <w:basedOn w:val="Normal"/>
    <w:qFormat/>
    <w:pPr>
      <w:spacing w:before="238" w:after="119"/>
    </w:pPr>
    <w:rPr/>
  </w:style>
  <w:style w:type="paragraph" w:styleId="Nadpis21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left="3402" w:right="0" w:hanging="34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left="4082" w:right="0" w:hanging="34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left="4762" w:right="0" w:hanging="34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left="5443" w:right="0" w:hanging="34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left="6123" w:right="0" w:hanging="34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left="0" w:right="0" w:hanging="34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left="3402" w:right="0" w:hanging="340"/>
    </w:pPr>
    <w:rPr/>
  </w:style>
  <w:style w:type="paragraph" w:styleId="Osnova6">
    <w:name w:val="Osnova 6"/>
    <w:basedOn w:val="Osnova5"/>
    <w:qFormat/>
    <w:pPr>
      <w:spacing w:before="0" w:after="0"/>
      <w:ind w:left="4082" w:right="0" w:hanging="340"/>
    </w:pPr>
    <w:rPr/>
  </w:style>
  <w:style w:type="paragraph" w:styleId="Osnova7">
    <w:name w:val="Osnova 7"/>
    <w:basedOn w:val="Osnova6"/>
    <w:qFormat/>
    <w:pPr>
      <w:spacing w:before="0" w:after="0"/>
      <w:ind w:left="4762" w:right="0" w:hanging="340"/>
    </w:pPr>
    <w:rPr/>
  </w:style>
  <w:style w:type="paragraph" w:styleId="Osnova8">
    <w:name w:val="Osnova 8"/>
    <w:basedOn w:val="Osnova7"/>
    <w:qFormat/>
    <w:pPr>
      <w:spacing w:before="0" w:after="0"/>
      <w:ind w:left="5443" w:right="0" w:hanging="340"/>
    </w:pPr>
    <w:rPr/>
  </w:style>
  <w:style w:type="paragraph" w:styleId="Osnova9">
    <w:name w:val="Osnova 9"/>
    <w:basedOn w:val="Osnova8"/>
    <w:qFormat/>
    <w:pPr>
      <w:spacing w:before="0" w:after="0"/>
      <w:ind w:left="6123" w:right="0" w:hanging="340"/>
    </w:pPr>
    <w:rPr/>
  </w:style>
  <w:style w:type="paragraph" w:styleId="Normal1">
    <w:name w:val="LO-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zapracovat">
    <w:name w:val="UPG - zapracovat"/>
    <w:basedOn w:val="Normal"/>
    <w:qFormat/>
    <w:pPr/>
    <w:rPr>
      <w:b/>
      <w:color w:val="FF0000"/>
    </w:rPr>
  </w:style>
  <w:style w:type="paragraph" w:styleId="UPG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Tlotextu"/>
    <w:qFormat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  <w:shd w:fill="CCCCCC" w:val="clear"/>
      <w:tabs>
        <w:tab w:val="clear" w:pos="720"/>
      </w:tabs>
      <w:bidi w:val="0"/>
      <w:spacing w:lineRule="auto" w:line="240" w:before="170" w:after="119"/>
      <w:ind w:left="227" w:right="0" w:hanging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numbering" w:styleId="Seznam11">
    <w:name w:val="Seznam 1"/>
    <w:qFormat/>
  </w:style>
  <w:style w:type="numbering" w:styleId="Seznam2">
    <w:name w:val="Seznam 2"/>
    <w:qFormat/>
  </w:style>
  <w:style w:type="numbering" w:styleId="Seznam3">
    <w:name w:val="Seznam 3"/>
    <w:qFormat/>
  </w:style>
  <w:style w:type="numbering" w:styleId="Seznam4">
    <w:name w:val="Seznam 4"/>
    <w:qFormat/>
  </w:style>
  <w:style w:type="numbering" w:styleId="Seznam5">
    <w:name w:val="Seznam 5"/>
    <w:qFormat/>
  </w:style>
  <w:style w:type="numbering" w:styleId="Seznam6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18131</TotalTime>
  <Application>LibreOffice/6.1.4.2$Windows_X86_64 LibreOffice_project/9d0f32d1f0b509096fd65e0d4bec26ddd1938fd3</Application>
  <Pages>2</Pages>
  <Words>586</Words>
  <Characters>3231</Characters>
  <CharactersWithSpaces>3743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2007-06-05T10:01:17Z</dcterms:created>
  <dc:creator>Daniel Kastner</dc:creator>
  <dc:description/>
  <dc:language>cs-CZ</dc:language>
  <cp:lastModifiedBy/>
  <cp:lastPrinted>2010-01-04T16:05:04Z</cp:lastPrinted>
  <dcterms:modified xsi:type="dcterms:W3CDTF">2023-01-09T13:26:57Z</dcterms:modified>
  <cp:revision>5939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